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C7" w:rsidRDefault="009F1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F19C7" w:rsidRDefault="006F29C3">
      <w:pPr>
        <w:spacing w:line="36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NÚCLEO DE INICIAÇÃO CIENTÍFICA E EXTENSÃO</w:t>
      </w: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b/>
        </w:rPr>
        <w:t>PROGRAMA DE MONITORIA DO CENTRO UNIVERSITÁRIO DO PLANALTO CENTRAL APPARECIDO DOS SANTOS-UNICEPLAC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6"/>
        <w:gridCol w:w="4091"/>
      </w:tblGrid>
      <w:tr w:rsidR="009F19C7">
        <w:trPr>
          <w:trHeight w:val="300"/>
        </w:trPr>
        <w:tc>
          <w:tcPr>
            <w:tcW w:w="9067" w:type="dxa"/>
            <w:gridSpan w:val="2"/>
          </w:tcPr>
          <w:p w:rsidR="009F19C7" w:rsidRDefault="006F29C3">
            <w:pPr>
              <w:jc w:val="center"/>
              <w:rPr>
                <w:b/>
              </w:rPr>
            </w:pPr>
            <w:r>
              <w:rPr>
                <w:b/>
              </w:rPr>
              <w:t>TERMO DE COMPROMISSO DE MONITORIA</w:t>
            </w:r>
          </w:p>
        </w:tc>
      </w:tr>
      <w:tr w:rsidR="009F19C7">
        <w:trPr>
          <w:trHeight w:val="1767"/>
        </w:trPr>
        <w:tc>
          <w:tcPr>
            <w:tcW w:w="9067" w:type="dxa"/>
            <w:gridSpan w:val="2"/>
          </w:tcPr>
          <w:p w:rsidR="009F19C7" w:rsidRDefault="009F19C7">
            <w:pPr>
              <w:jc w:val="both"/>
            </w:pPr>
          </w:p>
          <w:p w:rsidR="009F19C7" w:rsidRDefault="006F29C3">
            <w:pPr>
              <w:jc w:val="both"/>
            </w:pPr>
            <w:r>
              <w:t xml:space="preserve">Eu, ______________________________________________________________ (NOME DO DISCENTE), portador do RG </w:t>
            </w:r>
            <w:proofErr w:type="spellStart"/>
            <w:r>
              <w:t>nº___________________e</w:t>
            </w:r>
            <w:proofErr w:type="spellEnd"/>
            <w:r>
              <w:t xml:space="preserve"> CPF nº__________________________, regularmente matriculado no curso ____________________________________ do Centro Universitário do</w:t>
            </w:r>
            <w:r>
              <w:t xml:space="preserve"> Planalto Central </w:t>
            </w:r>
            <w:proofErr w:type="spellStart"/>
            <w:r>
              <w:t>Apparecido</w:t>
            </w:r>
            <w:proofErr w:type="spellEnd"/>
            <w:r>
              <w:t xml:space="preserve"> dos Santos-UNICEPLAC, sob a matrícula _____________________,  e  na disciplina____________________________________________ concordo em participar voluntariamente do Programa de Monitoria do Centro Universitário do Planalto Cent</w:t>
            </w:r>
            <w:r>
              <w:t xml:space="preserve">ral </w:t>
            </w:r>
            <w:proofErr w:type="spellStart"/>
            <w:r>
              <w:t>Apparecido</w:t>
            </w:r>
            <w:proofErr w:type="spellEnd"/>
            <w:r>
              <w:t xml:space="preserve"> dos Santos-UNICEPLAC, na condição de discente-monitor, e estou ciente das condições abaixo elencadas:</w:t>
            </w:r>
          </w:p>
        </w:tc>
      </w:tr>
      <w:tr w:rsidR="009F19C7">
        <w:trPr>
          <w:trHeight w:val="585"/>
        </w:trPr>
        <w:tc>
          <w:tcPr>
            <w:tcW w:w="9067" w:type="dxa"/>
            <w:gridSpan w:val="2"/>
          </w:tcPr>
          <w:p w:rsidR="009F19C7" w:rsidRDefault="006F29C3">
            <w:pPr>
              <w:jc w:val="both"/>
            </w:pPr>
            <w:r>
              <w:t>1. A concessão da vaga na monitoria está condicionada ao atendimento dos critérios estabelecidos neste Edital e no Regulamento do Programa de Monitoria do UNICEPLAC.</w:t>
            </w:r>
          </w:p>
        </w:tc>
      </w:tr>
      <w:tr w:rsidR="009F19C7">
        <w:trPr>
          <w:trHeight w:val="855"/>
        </w:trPr>
        <w:tc>
          <w:tcPr>
            <w:tcW w:w="9067" w:type="dxa"/>
            <w:gridSpan w:val="2"/>
          </w:tcPr>
          <w:p w:rsidR="009F19C7" w:rsidRDefault="006F29C3">
            <w:pPr>
              <w:jc w:val="both"/>
            </w:pPr>
            <w:r>
              <w:t xml:space="preserve">2. O discente-monitor não terá nenhuma compensação financeira e/ ou bolsa pelo exercício </w:t>
            </w:r>
            <w:r>
              <w:t>da monitoria, sendo toda a sua compensação pelo mérito acadêmico da atividade e pelo aprendizado que agrega, além de contribuir no cômputo de atividades complementares de acordo com as normas do curso.</w:t>
            </w:r>
          </w:p>
        </w:tc>
      </w:tr>
      <w:tr w:rsidR="009F19C7">
        <w:trPr>
          <w:trHeight w:val="570"/>
        </w:trPr>
        <w:tc>
          <w:tcPr>
            <w:tcW w:w="9067" w:type="dxa"/>
            <w:gridSpan w:val="2"/>
          </w:tcPr>
          <w:p w:rsidR="009F19C7" w:rsidRDefault="006F29C3">
            <w:pPr>
              <w:jc w:val="both"/>
            </w:pPr>
            <w:r>
              <w:t>3. Os discentes-monitores exercerão suas atividades s</w:t>
            </w:r>
            <w:r>
              <w:t xml:space="preserve">em qualquer vínculo empregatício com o UNICEPLAC e com carga horária semanal mínima de 3 (três) horas e máxima de 6 (seis) horas de atividades acadêmicas. O discente-monitor que não cumprir a carga horária mínima </w:t>
            </w:r>
            <w:r>
              <w:rPr>
                <w:b/>
              </w:rPr>
              <w:t>não receberá certificação.</w:t>
            </w:r>
          </w:p>
        </w:tc>
      </w:tr>
      <w:tr w:rsidR="009F19C7">
        <w:trPr>
          <w:trHeight w:val="825"/>
        </w:trPr>
        <w:tc>
          <w:tcPr>
            <w:tcW w:w="9067" w:type="dxa"/>
            <w:gridSpan w:val="2"/>
          </w:tcPr>
          <w:p w:rsidR="009F19C7" w:rsidRDefault="006F29C3">
            <w:pPr>
              <w:jc w:val="both"/>
            </w:pPr>
            <w:r>
              <w:t>4. O período de vigência da monitoria no 1º semestre letivo será do mês de fevereiro a julho, e no 2º semestre letivo será do mês de agosto até o mês dezembro, podendo ser interrompida por solicitação da Coordenação de Graduação, do docente-orientador ou d</w:t>
            </w:r>
            <w:r>
              <w:t>o discente-monitor, devidamente justificados. Em qualquer caso não será concedido a certificação.</w:t>
            </w:r>
          </w:p>
        </w:tc>
      </w:tr>
      <w:tr w:rsidR="009F19C7">
        <w:trPr>
          <w:trHeight w:val="825"/>
        </w:trPr>
        <w:tc>
          <w:tcPr>
            <w:tcW w:w="9067" w:type="dxa"/>
            <w:gridSpan w:val="2"/>
          </w:tcPr>
          <w:p w:rsidR="009F19C7" w:rsidRDefault="006F29C3">
            <w:pPr>
              <w:jc w:val="both"/>
            </w:pPr>
            <w:r>
              <w:t>5. Os discentes-monitores deverão acordar seus horários de atividades com os docentes-orientadores, não podendo estes coincidir com suas atividades acadêmica</w:t>
            </w:r>
            <w:r>
              <w:t>s regulares. Tal viabilidade é condição para o aceite final do discente no Programa.</w:t>
            </w:r>
          </w:p>
        </w:tc>
      </w:tr>
      <w:tr w:rsidR="009F19C7">
        <w:trPr>
          <w:trHeight w:val="660"/>
        </w:trPr>
        <w:tc>
          <w:tcPr>
            <w:tcW w:w="9067" w:type="dxa"/>
            <w:gridSpan w:val="2"/>
            <w:tcBorders>
              <w:bottom w:val="single" w:sz="4" w:space="0" w:color="000000"/>
            </w:tcBorders>
          </w:tcPr>
          <w:p w:rsidR="009F19C7" w:rsidRDefault="006F29C3">
            <w:pPr>
              <w:jc w:val="both"/>
            </w:pPr>
            <w:r>
              <w:t>6. O registro da carga horária do discente-monitor será controlado pelo docente-orientador por meio Formulário de Frequência e Registro de Atividades, que deverá fazer pa</w:t>
            </w:r>
            <w:r>
              <w:t xml:space="preserve">rte do relatório final de monitoria. </w:t>
            </w:r>
          </w:p>
        </w:tc>
      </w:tr>
      <w:tr w:rsidR="009F19C7">
        <w:trPr>
          <w:trHeight w:val="36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7. </w:t>
            </w:r>
            <w:r>
              <w:rPr>
                <w:b/>
                <w:u w:val="single"/>
              </w:rPr>
              <w:t>São deveres do discente-monitor</w:t>
            </w:r>
            <w:r>
              <w:rPr>
                <w:u w:val="single"/>
              </w:rPr>
              <w:t xml:space="preserve">: </w:t>
            </w:r>
          </w:p>
        </w:tc>
      </w:tr>
      <w:tr w:rsidR="009F19C7">
        <w:trPr>
          <w:trHeight w:val="270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>• Colaborar nas aulas, seminários, trabalhos práticos e de laboratórios ou ateliês;</w:t>
            </w:r>
          </w:p>
        </w:tc>
      </w:tr>
      <w:tr w:rsidR="009F19C7">
        <w:trPr>
          <w:trHeight w:val="570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>• Assistir ao docente na orientação de discentes, esclarecendo e auxiliando os demais estudantes nas atividades realizadas em classe e/ou laboratórios, em atividades de iniciação científica e na seleção de bibliografia;</w:t>
            </w:r>
          </w:p>
        </w:tc>
      </w:tr>
      <w:tr w:rsidR="009F19C7">
        <w:trPr>
          <w:trHeight w:val="300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 xml:space="preserve">• Auxiliar o docente na elaboração de listas de exercícios e trabalhos complementares; </w:t>
            </w:r>
          </w:p>
        </w:tc>
      </w:tr>
      <w:tr w:rsidR="009F19C7">
        <w:trPr>
          <w:trHeight w:val="300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 xml:space="preserve">• Dirimir as dúvidas dos discentes quanto aos exercícios e trabalhos complementares; </w:t>
            </w:r>
          </w:p>
        </w:tc>
      </w:tr>
      <w:tr w:rsidR="009F19C7">
        <w:trPr>
          <w:trHeight w:val="555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>• Dar assistência ao docente na coleta de dados e informações que possam contrib</w:t>
            </w:r>
            <w:r>
              <w:t xml:space="preserve">uir para a elaboração das atividades em sala de aula e extraclasse; </w:t>
            </w:r>
          </w:p>
        </w:tc>
      </w:tr>
      <w:tr w:rsidR="009F19C7">
        <w:trPr>
          <w:trHeight w:val="300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 xml:space="preserve">• Disponibilizar um horário específico para plantão de dúvidas; </w:t>
            </w:r>
          </w:p>
        </w:tc>
      </w:tr>
      <w:tr w:rsidR="009F19C7">
        <w:trPr>
          <w:trHeight w:val="300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 xml:space="preserve">• Participar das atividades de iniciação científica realizadas pelos docentes responsáveis; </w:t>
            </w:r>
          </w:p>
        </w:tc>
      </w:tr>
      <w:tr w:rsidR="009F19C7">
        <w:trPr>
          <w:trHeight w:val="330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 xml:space="preserve">• Cumprir os horários estabelecidos, sem prejuízo da frequência às aulas, do cumprimento de trabalhos e provas; </w:t>
            </w:r>
          </w:p>
        </w:tc>
      </w:tr>
      <w:tr w:rsidR="009F19C7">
        <w:trPr>
          <w:trHeight w:val="585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9C7" w:rsidRDefault="006F29C3">
            <w:pPr>
              <w:jc w:val="both"/>
            </w:pPr>
            <w:r>
              <w:t xml:space="preserve">• Apresentar, ao término da monitoria, relatório das atividades desenvolvidas, em que conste avaliação do seu desempenho, da orientação recebida e das condições em que desenvolveu suas atividades; </w:t>
            </w:r>
          </w:p>
        </w:tc>
      </w:tr>
      <w:tr w:rsidR="009F19C7">
        <w:trPr>
          <w:trHeight w:val="645"/>
        </w:trPr>
        <w:tc>
          <w:tcPr>
            <w:tcW w:w="90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C7" w:rsidRDefault="006F29C3">
            <w:r>
              <w:lastRenderedPageBreak/>
              <w:t>• Desenvolver outras atividades inerentes às funções de m</w:t>
            </w:r>
            <w:r>
              <w:t>onitor, sob a orientação do docente a que se vincula o componente curricular;</w:t>
            </w:r>
            <w:r>
              <w:br/>
            </w:r>
            <w:proofErr w:type="gramStart"/>
            <w:r>
              <w:t>• Entregar</w:t>
            </w:r>
            <w:proofErr w:type="gramEnd"/>
            <w:r>
              <w:t xml:space="preserve"> a documentação completa (termo de compromisso, formulário de frequência e relatório do docente) preenchido e assinado em </w:t>
            </w:r>
            <w:r>
              <w:rPr>
                <w:b/>
              </w:rPr>
              <w:t>até 30 dias</w:t>
            </w:r>
            <w:r>
              <w:t xml:space="preserve"> após o termino da monitoria.</w:t>
            </w:r>
          </w:p>
          <w:p w:rsidR="009F19C7" w:rsidRDefault="006F29C3">
            <w:pPr>
              <w:tabs>
                <w:tab w:val="left" w:pos="3405"/>
              </w:tabs>
            </w:pPr>
            <w:r>
              <w:tab/>
            </w:r>
          </w:p>
        </w:tc>
      </w:tr>
      <w:tr w:rsidR="009F19C7">
        <w:trPr>
          <w:trHeight w:val="1080"/>
        </w:trPr>
        <w:tc>
          <w:tcPr>
            <w:tcW w:w="9067" w:type="dxa"/>
            <w:gridSpan w:val="2"/>
            <w:tcBorders>
              <w:top w:val="single" w:sz="4" w:space="0" w:color="000000"/>
            </w:tcBorders>
          </w:tcPr>
          <w:p w:rsidR="009F19C7" w:rsidRDefault="006F29C3">
            <w:pPr>
              <w:jc w:val="both"/>
            </w:pPr>
            <w:r>
              <w:t xml:space="preserve">8. </w:t>
            </w:r>
            <w:r>
              <w:rPr>
                <w:b/>
                <w:u w:val="single"/>
              </w:rPr>
              <w:t>É vedado ao discente-monitor</w:t>
            </w:r>
            <w:r>
              <w:rPr>
                <w:b/>
              </w:rPr>
              <w:t>:</w:t>
            </w:r>
            <w:r>
              <w:t xml:space="preserve"> substituir o docente nas aulas de sua responsabilidade; aplicar ou corrigir provas e trabalhos de verificação do rendimento escolar; ministrar cursos de acompanhamento, em caráter particular, para discentes que estiverem cu</w:t>
            </w:r>
            <w:r>
              <w:t>rsando componente curricular objeto de monitoria; exercer quaisquer atividades de caráter administrativo, de julgamento, de verificação de aprendizagem e de supervisão de estágio.</w:t>
            </w:r>
          </w:p>
        </w:tc>
      </w:tr>
      <w:tr w:rsidR="009F19C7">
        <w:trPr>
          <w:trHeight w:val="654"/>
        </w:trPr>
        <w:tc>
          <w:tcPr>
            <w:tcW w:w="9067" w:type="dxa"/>
            <w:gridSpan w:val="2"/>
            <w:tcBorders>
              <w:top w:val="single" w:sz="4" w:space="0" w:color="000000"/>
            </w:tcBorders>
          </w:tcPr>
          <w:p w:rsidR="009F19C7" w:rsidRDefault="006F29C3">
            <w:pPr>
              <w:jc w:val="both"/>
            </w:pPr>
            <w:bookmarkStart w:id="0" w:name="_heading=h.gjdgxs" w:colFirst="0" w:colLast="0"/>
            <w:bookmarkEnd w:id="0"/>
            <w:r>
              <w:t>9. O monitor que não enviar a documentação final completa, preenchida e ass</w:t>
            </w:r>
            <w:r>
              <w:t xml:space="preserve">inada pelo monitor e docente responsável, no prazo de até 30 dias após o término da monitoria, no </w:t>
            </w:r>
            <w:hyperlink r:id="rId8" w:history="1">
              <w:r w:rsidRPr="0014192D">
                <w:rPr>
                  <w:rStyle w:val="Hyperlink"/>
                </w:rPr>
                <w:t>formulário de envio de relatório</w:t>
              </w:r>
            </w:hyperlink>
            <w:r>
              <w:t xml:space="preserve"> final  disponível no site do UNICEPLAC, não terá direito à certificação.</w:t>
            </w:r>
          </w:p>
        </w:tc>
      </w:tr>
      <w:tr w:rsidR="009F19C7">
        <w:trPr>
          <w:trHeight w:val="508"/>
        </w:trPr>
        <w:tc>
          <w:tcPr>
            <w:tcW w:w="9067" w:type="dxa"/>
            <w:gridSpan w:val="2"/>
            <w:vMerge w:val="restart"/>
          </w:tcPr>
          <w:p w:rsidR="009F19C7" w:rsidRDefault="009F19C7">
            <w:pPr>
              <w:jc w:val="both"/>
            </w:pPr>
          </w:p>
          <w:p w:rsidR="009F19C7" w:rsidRDefault="006F29C3">
            <w:pPr>
              <w:jc w:val="both"/>
            </w:pPr>
            <w:r>
              <w:t xml:space="preserve">Este termo poderá ser interrompido por qualquer uma das partes mediante justificativa por escrito, sem a concessão da certificação. </w:t>
            </w:r>
          </w:p>
        </w:tc>
      </w:tr>
      <w:tr w:rsidR="009F19C7">
        <w:trPr>
          <w:trHeight w:val="508"/>
        </w:trPr>
        <w:tc>
          <w:tcPr>
            <w:tcW w:w="9067" w:type="dxa"/>
            <w:gridSpan w:val="2"/>
            <w:vMerge/>
          </w:tcPr>
          <w:p w:rsidR="009F19C7" w:rsidRDefault="009F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F19C7">
        <w:trPr>
          <w:trHeight w:val="330"/>
        </w:trPr>
        <w:tc>
          <w:tcPr>
            <w:tcW w:w="9067" w:type="dxa"/>
            <w:gridSpan w:val="2"/>
          </w:tcPr>
          <w:p w:rsidR="009F19C7" w:rsidRDefault="006F29C3">
            <w:pPr>
              <w:jc w:val="both"/>
            </w:pPr>
            <w:r>
              <w:t xml:space="preserve">Gama - </w:t>
            </w:r>
            <w:proofErr w:type="gramStart"/>
            <w:r>
              <w:t xml:space="preserve">DF,   </w:t>
            </w:r>
            <w:proofErr w:type="gramEnd"/>
            <w:r>
              <w:t xml:space="preserve">      de                               </w:t>
            </w:r>
            <w:proofErr w:type="spellStart"/>
            <w:r>
              <w:t>de</w:t>
            </w:r>
            <w:bookmarkStart w:id="1" w:name="_GoBack"/>
            <w:bookmarkEnd w:id="1"/>
            <w:proofErr w:type="spellEnd"/>
            <w:r>
              <w:t xml:space="preserve"> 202      .</w:t>
            </w:r>
          </w:p>
        </w:tc>
      </w:tr>
      <w:tr w:rsidR="009F19C7">
        <w:trPr>
          <w:trHeight w:val="595"/>
        </w:trPr>
        <w:tc>
          <w:tcPr>
            <w:tcW w:w="9067" w:type="dxa"/>
            <w:gridSpan w:val="2"/>
          </w:tcPr>
          <w:p w:rsidR="009F19C7" w:rsidRDefault="009F19C7">
            <w:pPr>
              <w:jc w:val="both"/>
            </w:pPr>
          </w:p>
        </w:tc>
      </w:tr>
      <w:tr w:rsidR="009F19C7">
        <w:trPr>
          <w:trHeight w:val="300"/>
        </w:trPr>
        <w:tc>
          <w:tcPr>
            <w:tcW w:w="4976" w:type="dxa"/>
          </w:tcPr>
          <w:p w:rsidR="009F19C7" w:rsidRDefault="006F29C3">
            <w:pPr>
              <w:jc w:val="both"/>
            </w:pPr>
            <w:r>
              <w:t>(Docente-Orientador)</w:t>
            </w:r>
          </w:p>
        </w:tc>
        <w:tc>
          <w:tcPr>
            <w:tcW w:w="4091" w:type="dxa"/>
          </w:tcPr>
          <w:p w:rsidR="009F19C7" w:rsidRDefault="006F29C3">
            <w:pPr>
              <w:jc w:val="both"/>
            </w:pPr>
            <w:r>
              <w:t>(Discente-Monitor)</w:t>
            </w:r>
          </w:p>
        </w:tc>
      </w:tr>
    </w:tbl>
    <w:p w:rsidR="009F19C7" w:rsidRDefault="009F19C7"/>
    <w:p w:rsidR="009F19C7" w:rsidRDefault="009F19C7"/>
    <w:p w:rsidR="009F19C7" w:rsidRDefault="009F19C7"/>
    <w:p w:rsidR="009F19C7" w:rsidRDefault="006F29C3">
      <w:pPr>
        <w:tabs>
          <w:tab w:val="left" w:pos="3360"/>
        </w:tabs>
      </w:pPr>
      <w:r>
        <w:tab/>
      </w:r>
    </w:p>
    <w:p w:rsidR="009F19C7" w:rsidRDefault="009F19C7"/>
    <w:p w:rsidR="009F19C7" w:rsidRDefault="009F19C7"/>
    <w:p w:rsidR="009F19C7" w:rsidRDefault="009F19C7"/>
    <w:p w:rsidR="009F19C7" w:rsidRDefault="006F29C3">
      <w:pPr>
        <w:tabs>
          <w:tab w:val="left" w:pos="1740"/>
        </w:tabs>
      </w:pPr>
      <w:r>
        <w:tab/>
      </w:r>
    </w:p>
    <w:sectPr w:rsidR="009F19C7">
      <w:headerReference w:type="even" r:id="rId9"/>
      <w:headerReference w:type="default" r:id="rId10"/>
      <w:headerReference w:type="first" r:id="rId11"/>
      <w:pgSz w:w="11906" w:h="16838"/>
      <w:pgMar w:top="1417" w:right="1133" w:bottom="1417" w:left="1701" w:header="1644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9C3" w:rsidRDefault="006F29C3">
      <w:pPr>
        <w:spacing w:after="0" w:line="240" w:lineRule="auto"/>
      </w:pPr>
      <w:r>
        <w:separator/>
      </w:r>
    </w:p>
  </w:endnote>
  <w:endnote w:type="continuationSeparator" w:id="0">
    <w:p w:rsidR="006F29C3" w:rsidRDefault="006F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9C3" w:rsidRDefault="006F29C3">
      <w:pPr>
        <w:spacing w:after="0" w:line="240" w:lineRule="auto"/>
      </w:pPr>
      <w:r>
        <w:separator/>
      </w:r>
    </w:p>
  </w:footnote>
  <w:footnote w:type="continuationSeparator" w:id="0">
    <w:p w:rsidR="006F29C3" w:rsidRDefault="006F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C7" w:rsidRDefault="006F29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C7" w:rsidRDefault="006F29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-85.15pt;margin-top:-109.85pt;width:595.2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C7" w:rsidRDefault="006F29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4E1"/>
    <w:multiLevelType w:val="multilevel"/>
    <w:tmpl w:val="AFA861B8"/>
    <w:lvl w:ilvl="0">
      <w:start w:val="1"/>
      <w:numFmt w:val="decimal"/>
      <w:pStyle w:val="Pargrafoda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C7"/>
    <w:rsid w:val="0014192D"/>
    <w:rsid w:val="006F29C3"/>
    <w:rsid w:val="009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0E4DCCF-21F0-484D-9D16-B74C4CC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360" w:line="240" w:lineRule="auto"/>
    </w:pPr>
    <w:rPr>
      <w:color w:val="44546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  <w:style w:type="table" w:styleId="Tabelacomgrade">
    <w:name w:val="Table Grid"/>
    <w:basedOn w:val="Tabelanormal"/>
    <w:uiPriority w:val="59"/>
    <w:rsid w:val="009E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19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gXzXkDP9F49UHk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SEUYcFTOpiNTDZsiEtQ0MkwQA==">CgMxLjAyCGguZ2pkZ3hzOAByITFtQzQxZzVpLVlhSGVncXBLd3ZWS0p2X3k3a01YNzRzNA==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757</Words>
  <Characters>4091</Characters>
  <Application>Microsoft Office Word</Application>
  <DocSecurity>0</DocSecurity>
  <Lines>34</Lines>
  <Paragraphs>9</Paragraphs>
  <ScaleCrop>false</ScaleCrop>
  <Company>UNICEPLAC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WELLINGTON GABRIEL VIEIRA LIMA</cp:lastModifiedBy>
  <cp:revision>2</cp:revision>
  <dcterms:created xsi:type="dcterms:W3CDTF">2024-08-20T18:24:00Z</dcterms:created>
  <dcterms:modified xsi:type="dcterms:W3CDTF">2025-02-04T14:15:00Z</dcterms:modified>
</cp:coreProperties>
</file>